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A0" w:rsidRPr="00162498" w:rsidRDefault="004132C0" w:rsidP="001624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6D147C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415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32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162498" w:rsidRPr="00162498" w:rsidRDefault="00162498" w:rsidP="0016249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162498" w:rsidRPr="00162498" w:rsidRDefault="00162498" w:rsidP="0016249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162498" w:rsidRPr="00162498" w:rsidRDefault="00162498" w:rsidP="0016249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162498" w:rsidRPr="00162498" w:rsidRDefault="00162498" w:rsidP="001624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12 АПРЕЛЯ</w:t>
      </w: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2024 Г.</w:t>
      </w: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 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165</w:t>
      </w: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Г.СЕВАСТОПОЛЬ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Главы внутригородского муниципального образования, исполняющего полномочия председателя Совета, </w:t>
      </w: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местной администрации </w:t>
      </w:r>
      <w:r w:rsidR="00AE4FFF">
        <w:rPr>
          <w:rFonts w:ascii="Times New Roman" w:hAnsi="Times New Roman" w:cs="Times New Roman"/>
          <w:b/>
          <w:sz w:val="28"/>
          <w:szCs w:val="28"/>
        </w:rPr>
        <w:t xml:space="preserve">А.Ю. </w:t>
      </w:r>
      <w:proofErr w:type="spellStart"/>
      <w:r w:rsidR="00AE4FFF">
        <w:rPr>
          <w:rFonts w:ascii="Times New Roman" w:hAnsi="Times New Roman" w:cs="Times New Roman"/>
          <w:b/>
          <w:sz w:val="28"/>
          <w:szCs w:val="28"/>
        </w:rPr>
        <w:t>Ярусова</w:t>
      </w:r>
      <w:proofErr w:type="spellEnd"/>
      <w:r w:rsidR="00AE4F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F40" w:rsidRDefault="00647FD0" w:rsidP="00AE4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A719B9">
        <w:rPr>
          <w:rFonts w:ascii="Times New Roman" w:hAnsi="Times New Roman" w:cs="Times New Roman"/>
          <w:b/>
          <w:sz w:val="28"/>
          <w:szCs w:val="28"/>
        </w:rPr>
        <w:t>3</w:t>
      </w:r>
      <w:r w:rsidR="004258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4922" w:rsidRDefault="00AE4922" w:rsidP="00AE4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1D5F40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40">
        <w:rPr>
          <w:rFonts w:ascii="Times New Roman" w:hAnsi="Times New Roman" w:cs="Times New Roman"/>
          <w:sz w:val="28"/>
          <w:szCs w:val="28"/>
        </w:rPr>
        <w:t>Руководствуясь</w:t>
      </w:r>
      <w:r w:rsidR="00D369A9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г. «Об общих принципах организации местного самоуправления в Российской Федерации»,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</w:t>
      </w:r>
      <w:r w:rsidR="00DD225F">
        <w:rPr>
          <w:rFonts w:ascii="Times New Roman" w:hAnsi="Times New Roman" w:cs="Times New Roman"/>
          <w:sz w:val="28"/>
          <w:szCs w:val="28"/>
        </w:rPr>
        <w:br/>
      </w:r>
      <w:r w:rsidR="004A0D48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муниципального округа, утвержденного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</w:t>
      </w:r>
      <w:r w:rsidR="00DD225F">
        <w:rPr>
          <w:rFonts w:ascii="Times New Roman" w:hAnsi="Times New Roman" w:cs="Times New Roman"/>
          <w:sz w:val="28"/>
          <w:szCs w:val="28"/>
        </w:rPr>
        <w:br/>
      </w:r>
      <w:r w:rsidR="00295E75">
        <w:rPr>
          <w:rFonts w:ascii="Times New Roman" w:hAnsi="Times New Roman" w:cs="Times New Roman"/>
          <w:sz w:val="28"/>
          <w:szCs w:val="28"/>
        </w:rPr>
        <w:t xml:space="preserve">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Default="00295E75" w:rsidP="006D14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5E75">
        <w:rPr>
          <w:rFonts w:ascii="Times New Roman" w:hAnsi="Times New Roman" w:cs="Times New Roman"/>
          <w:sz w:val="28"/>
          <w:szCs w:val="28"/>
        </w:rPr>
        <w:t xml:space="preserve">Утвердить отчет Главы внутригородского муниципального образования, исполняющего полномочия председателя Совета, Главы местной администрации </w:t>
      </w:r>
      <w:r w:rsidR="00070F53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Pr="00295E75">
        <w:rPr>
          <w:rFonts w:ascii="Times New Roman" w:hAnsi="Times New Roman" w:cs="Times New Roman"/>
          <w:sz w:val="28"/>
          <w:szCs w:val="28"/>
        </w:rPr>
        <w:t>Ярусова</w:t>
      </w:r>
      <w:proofErr w:type="spellEnd"/>
      <w:r w:rsidR="00070F53">
        <w:rPr>
          <w:rFonts w:ascii="Times New Roman" w:hAnsi="Times New Roman" w:cs="Times New Roman"/>
          <w:sz w:val="28"/>
          <w:szCs w:val="28"/>
        </w:rPr>
        <w:t xml:space="preserve"> за 20</w:t>
      </w:r>
      <w:r w:rsidR="00647FD0">
        <w:rPr>
          <w:rFonts w:ascii="Times New Roman" w:hAnsi="Times New Roman" w:cs="Times New Roman"/>
          <w:sz w:val="28"/>
          <w:szCs w:val="28"/>
        </w:rPr>
        <w:t>2</w:t>
      </w:r>
      <w:r w:rsidR="00A719B9">
        <w:rPr>
          <w:rFonts w:ascii="Times New Roman" w:hAnsi="Times New Roman" w:cs="Times New Roman"/>
          <w:sz w:val="28"/>
          <w:szCs w:val="28"/>
        </w:rPr>
        <w:t>3</w:t>
      </w:r>
      <w:r w:rsidRPr="00295E75">
        <w:rPr>
          <w:rFonts w:ascii="Times New Roman" w:hAnsi="Times New Roman" w:cs="Times New Roman"/>
          <w:sz w:val="28"/>
          <w:szCs w:val="28"/>
        </w:rPr>
        <w:t xml:space="preserve"> год</w:t>
      </w:r>
      <w:r w:rsidR="00AF38E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95E75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EB500A" w:rsidRDefault="00EB500A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647FD0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7FD0" w:rsidSect="00162498">
          <w:headerReference w:type="default" r:id="rId9"/>
          <w:pgSz w:w="11906" w:h="16838"/>
          <w:pgMar w:top="1134" w:right="567" w:bottom="0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647FD0">
        <w:rPr>
          <w:rFonts w:ascii="Times New Roman" w:hAnsi="Times New Roman" w:cs="Times New Roman"/>
          <w:sz w:val="28"/>
          <w:szCs w:val="28"/>
        </w:rPr>
        <w:t>А.Ю. Ярусов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AE4FFF" w:rsidRPr="00AE4FFF" w:rsidRDefault="00647FD0" w:rsidP="0037729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3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D22AC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719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63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165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Отчет Главы                                                         внутригородского муниципального                                                                           образования, исполняющего полномочия                                                                           председателя Совета, Главы местной                                                                            администрации А. Ю. </w:t>
      </w:r>
      <w:proofErr w:type="spellStart"/>
      <w:r w:rsidRPr="00AE4F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Ярусова</w:t>
      </w:r>
      <w:proofErr w:type="spellEnd"/>
    </w:p>
    <w:p w:rsidR="00AE4FFF" w:rsidRPr="00AE4FFF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 202</w:t>
      </w:r>
      <w:r w:rsidR="00A719B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</w:t>
      </w:r>
      <w:r w:rsidR="002070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AE4FFF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922" w:rsidRDefault="00AE4922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922" w:rsidRDefault="00AE4922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D0" w:rsidRPr="007D1DCB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7FD0" w:rsidRPr="007D1DCB" w:rsidSect="00DD225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  <w:r w:rsidRPr="007D1D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Севастополь</w:t>
      </w:r>
    </w:p>
    <w:p w:rsidR="00425877" w:rsidRPr="00425877" w:rsidRDefault="00D92DF4" w:rsidP="00D92DF4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877"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депутаты!</w:t>
      </w:r>
    </w:p>
    <w:p w:rsidR="00425877" w:rsidRPr="00425877" w:rsidRDefault="00D92DF4" w:rsidP="00D92DF4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8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 (далее – Устав), представляю Совету Гагаринского муниципального округа (далее - Совет) отчет Главы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образования, исполняющего полномочия председателя Совета, Главы местной</w:t>
      </w:r>
      <w:r w:rsidR="00F75B95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Главы Гагаринского муниципального округа) </w:t>
      </w:r>
      <w:r w:rsidR="00647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E1B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самоуправление как основа конституционного строя Российской Федерации признается, гарантируется и осуществляется на территории города Севастополя в пределах внутригородских муниципальных образований.</w:t>
      </w:r>
    </w:p>
    <w:p w:rsidR="00425877" w:rsidRPr="005544EE" w:rsidRDefault="00425877" w:rsidP="002E7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местного значения муниципального образования – вопросы непосредственного обеспечения жизнедеятельности населения </w:t>
      </w:r>
      <w:r w:rsidR="002E7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 Гагаринский муниципальный округ (далее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E72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муниципальный округ)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которых осуществляется населением и органами местного самоуправления.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Структуру органов местного самоуправления составляют:</w:t>
      </w:r>
    </w:p>
    <w:p w:rsidR="009178F9" w:rsidRPr="00291402" w:rsidRDefault="00425877" w:rsidP="00917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Совет – предста</w:t>
      </w:r>
      <w:r w:rsidR="003E7E15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вительный орган, состоящий из 15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депутатов, избираемых на муниципальн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выборах, </w:t>
      </w:r>
      <w:r w:rsidR="00F8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выборное должностное лицо, </w:t>
      </w:r>
      <w:r w:rsidR="00F8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униципальный</w:t>
      </w:r>
      <w:r w:rsidR="002070FB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служащий</w:t>
      </w:r>
      <w:r w:rsidR="009178F9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A5998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Глава Гагаринского муниципального округа, избираемый Советом Гагаринского муниципального округа</w:t>
      </w:r>
      <w:r w:rsidR="00CB1BE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Местная администрация</w:t>
      </w:r>
      <w:r w:rsidR="00266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6690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</w:t>
      </w:r>
      <w:r w:rsidR="0026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Местная администрация)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исполнительно-распорядительный орган, состоящий из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муниципальных служащих,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технических работника.</w:t>
      </w:r>
      <w:r w:rsidR="00F50224" w:rsidRPr="00DE5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59D1" w:rsidRDefault="00DE59D1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877" w:rsidRPr="005544EE" w:rsidRDefault="00425877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Гагаринского муниципального </w:t>
      </w:r>
      <w:r w:rsidRPr="00A4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2023 году Совет состоял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15 депутатов, из них 10 мужчин и                  5 женщины, от общей численности избранных депутатов - 15 депутатов.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образованы три постоянных комиссии по следующим профильным направлениям деятельности органов местного самоуправления: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депутатской деятельности, этики, законности, правопорядка и развития местного самоуправления;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бюджета, финансов, социально-экономического развития, муниципальной собственности и благоустройства;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развития туризма, физической культуры, спорта и социальным вопросам.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Постоянные комиссии образованы исходя из необходимости решения вопросов местного значения и утверждаемых муниципальных нормативных правовых актов, относящихся к компетенции Совета. 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период, депутаты Совета участвовали в работе временных (рабочих) групп, а именно: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</w:t>
      </w:r>
      <w:r w:rsidR="002666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местного бюджета на 2024 год и плановые периоды 2025-2026 годов.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2023 год проведено 13 заседаний сессии Совета.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принято 48 решений Совета, в пределах установленных полномочий. </w:t>
      </w:r>
    </w:p>
    <w:p w:rsidR="000F5662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подписанного Соглашения о взаимодействии в правотворческой деятельности и обеспечении единства правового пространства все проекты муниципальных правовых актов нормативного характера прошли правовую экспертизу, проведенную Прокуратурой Гагаринского района города Севастополя, а также для проверки наличия в них факторов, способствующих созданию условий для коррупции, с целью последующего принятия решений Совета.</w:t>
      </w:r>
    </w:p>
    <w:p w:rsidR="00A76D0D" w:rsidRPr="005544EE" w:rsidRDefault="00A76D0D" w:rsidP="00137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1C2" w:rsidRPr="005544EE" w:rsidRDefault="005A61C2" w:rsidP="005A61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обращениями </w:t>
      </w:r>
      <w:r w:rsidRPr="008B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4470" w:rsidRPr="008B4470" w:rsidRDefault="008B4470" w:rsidP="008B44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8B4470" w:rsidRPr="00865C10" w:rsidRDefault="008B4470" w:rsidP="008B447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обращениями граждан 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02 мая 2006 г. № 59-ФЗ «О порядке рассмотрения обращений граждан Российской Федерации» и Федеральным законом от 09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31457E" w:rsidRPr="00865C10" w:rsidRDefault="008B4470" w:rsidP="00314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обращений осуществля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административном здании по адресу: 299038, г. Севастополь, пр. Октябрьской Революции, д. 8, кабинет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308. Часы приема: понедельник – четверг с 09:00 до 18:00, пятница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09:00 до 16:45,   перерыв с 13:00 до 13:45.</w:t>
      </w:r>
    </w:p>
    <w:p w:rsidR="0031457E" w:rsidRPr="00865C10" w:rsidRDefault="0031457E" w:rsidP="00314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поступающих обращений в письменной форме, их напра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исполнителям 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журнале регистрации и учета входящей корреспонденции физических лиц.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прием обращений, поступивших в электронном виде в форме электронных документов. Порядок их рассмотрения аналогичен порядку рассмотрения письменных обращений.</w:t>
      </w:r>
    </w:p>
    <w:p w:rsidR="006848EA" w:rsidRPr="00865C10" w:rsidRDefault="0031457E" w:rsidP="00684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Гагаринског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муниципального округа </w:t>
      </w:r>
      <w:r w:rsidR="00F8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граждан согласно графику приема, 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размещён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стенде для официальной информации внутригородского муниципального образования города Севастополя Гагаринский муниципальный округ, на официальном сайте внутригородского муниципального образования города Севастополя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Гагаринский муниципальный округ (далее – официальный сайт Гагаринского муниципального округа).</w:t>
      </w:r>
    </w:p>
    <w:p w:rsidR="0031457E" w:rsidRPr="00865C10" w:rsidRDefault="0031457E" w:rsidP="00684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запись на прием осуществля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административном здании по адресу: 299038, г. Севастополь, пр. Октябрьской Революции, д. 8, кабинет № 308, по телефону 42-39-11. Часы записи на прием: понедельник – четверг с 09:00 до 18:00, пятница с 09:00 до 16:45, перерыв с 13:00 до 13:45.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прием граждан проводи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первый четверг месяца в служебном кабинете в административном здании по адресу: г. Севастополь, пр. Октябрьской революции, дом 8 (кабинет № 307). 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вопросов, с которыми обраща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граждане, разнообразна: вопросы благоустройства и жилищно-коммунального хозяйства, об обустройстве дворовых территорий, о ремонте </w:t>
      </w:r>
      <w:proofErr w:type="spellStart"/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межквартальных дорог, о поддержании порядка и уходе за территориями (парков и скверов); запросы информации по укрытиям, социальные вопросы и многое другое.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некоторых вопросов ограничено рамками определенных действующим законодательством вопросов местного значения, переданных полномочий, поэтому для решения таких вопросов обращения граждан перенаправля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принадлежности в органы исполнительной власти города Севастополя.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обратной связи, снижения напряженности среди населения, органы местного самоуправления в своей работе большое внимание уделя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непосредственному общению с гражданами. Острые вопросы 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рассмотрены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выездом на место и участием жителей многоквартирных домов. Собрания собственников жилья провод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представителей органов местного самоуправления. 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4470" w:rsidRPr="00865C10" w:rsidRDefault="008B4470" w:rsidP="008B44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за 202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3521"/>
      </w:tblGrid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divId w:val="149672902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</w:tr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</w:tr>
      <w:tr w:rsidR="008B4470" w:rsidRPr="00865C10" w:rsidTr="008B4470">
        <w:trPr>
          <w:trHeight w:val="285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Предоставлены ответы (разъяснения)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Направлено по принадлежности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65C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работе на 31.12.202</w:t>
            </w:r>
            <w:r w:rsidR="00865C10"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425877" w:rsidRDefault="00425877" w:rsidP="004258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CD5" w:rsidRDefault="00243B21" w:rsidP="00243B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юридическими лицами</w:t>
      </w: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4AAA" w:rsidRPr="00154AAA" w:rsidRDefault="00154AAA" w:rsidP="00243B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D5" w:rsidRPr="00865C10" w:rsidRDefault="00876CD5" w:rsidP="00865C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C10">
        <w:rPr>
          <w:rFonts w:ascii="Times New Roman" w:eastAsia="Calibri" w:hAnsi="Times New Roman" w:cs="Times New Roman"/>
          <w:sz w:val="28"/>
          <w:szCs w:val="28"/>
        </w:rPr>
        <w:t>Работа с письмами от юридических лиц, поступающими в Местную администрацию и Совет</w:t>
      </w:r>
      <w:r w:rsidR="00865C10" w:rsidRPr="00865C10">
        <w:rPr>
          <w:rFonts w:ascii="Times New Roman" w:eastAsia="Calibri" w:hAnsi="Times New Roman" w:cs="Times New Roman"/>
          <w:sz w:val="28"/>
          <w:szCs w:val="28"/>
        </w:rPr>
        <w:t xml:space="preserve"> в 2023 году</w:t>
      </w:r>
      <w:r w:rsidRPr="00865C10">
        <w:rPr>
          <w:rFonts w:ascii="Times New Roman" w:eastAsia="Calibri" w:hAnsi="Times New Roman" w:cs="Times New Roman"/>
          <w:sz w:val="28"/>
          <w:szCs w:val="28"/>
        </w:rPr>
        <w:t>, осуществля</w:t>
      </w:r>
      <w:r w:rsidR="00865C10" w:rsidRPr="00865C10">
        <w:rPr>
          <w:rFonts w:ascii="Times New Roman" w:eastAsia="Calibri" w:hAnsi="Times New Roman" w:cs="Times New Roman"/>
          <w:sz w:val="28"/>
          <w:szCs w:val="28"/>
        </w:rPr>
        <w:t>лся</w:t>
      </w:r>
      <w:r w:rsidRPr="00865C1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Правилами делопроизводства в государственных органах, утвержденными постановлением Правительства Российской Федерации от 15.06.2009 № 477, требованиями ГОСТ Р </w:t>
      </w:r>
      <w:proofErr w:type="gramStart"/>
      <w:r w:rsidRPr="00865C10">
        <w:rPr>
          <w:rFonts w:ascii="Times New Roman" w:eastAsia="Calibri" w:hAnsi="Times New Roman" w:cs="Times New Roman"/>
          <w:sz w:val="28"/>
          <w:szCs w:val="28"/>
        </w:rPr>
        <w:t>7.0.8.-</w:t>
      </w:r>
      <w:proofErr w:type="gramEnd"/>
      <w:r w:rsidRPr="00865C10">
        <w:rPr>
          <w:rFonts w:ascii="Times New Roman" w:eastAsia="Calibri" w:hAnsi="Times New Roman" w:cs="Times New Roman"/>
          <w:sz w:val="28"/>
          <w:szCs w:val="28"/>
        </w:rPr>
        <w:t xml:space="preserve">2023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Правилами организации хранения, комплектования, учета и использования документов Архивного фонда Российской Федерации, других архивных документов в </w:t>
      </w:r>
      <w:r w:rsidRPr="00865C10">
        <w:rPr>
          <w:rFonts w:ascii="Times New Roman" w:eastAsia="Calibri" w:hAnsi="Times New Roman" w:cs="Times New Roman"/>
          <w:sz w:val="28"/>
          <w:szCs w:val="28"/>
        </w:rPr>
        <w:lastRenderedPageBreak/>
        <w:t>органах государственной власти, органах местного самоуправления и организациях, утвержденными приказом Минкультуры от 31.03.2015 № 526.</w:t>
      </w:r>
    </w:p>
    <w:p w:rsidR="00876CD5" w:rsidRPr="009D7D7F" w:rsidRDefault="00876CD5" w:rsidP="009F20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Прием документов от юридических лиц осуществля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лся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7D7F">
        <w:rPr>
          <w:rFonts w:ascii="Times New Roman" w:eastAsia="Calibri" w:hAnsi="Times New Roman" w:cs="Times New Roman"/>
          <w:sz w:val="28"/>
          <w:szCs w:val="28"/>
        </w:rPr>
        <w:t>в</w:t>
      </w:r>
      <w:r w:rsidR="00D12C54"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7D7F">
        <w:rPr>
          <w:rFonts w:ascii="Times New Roman" w:eastAsia="Calibri" w:hAnsi="Times New Roman" w:cs="Times New Roman"/>
          <w:sz w:val="28"/>
          <w:szCs w:val="28"/>
        </w:rPr>
        <w:t>приемной Главы</w:t>
      </w:r>
      <w:proofErr w:type="gramEnd"/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Гагаринского муниципального округа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D7D7F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. № 308, пр. Октябрьской революции, 8). </w:t>
      </w:r>
    </w:p>
    <w:p w:rsidR="00DD048F" w:rsidRDefault="00876CD5" w:rsidP="00DD0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В 202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в Местную администрацию и Совет поступило 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 xml:space="preserve">2 401 </w:t>
      </w:r>
      <w:r w:rsidRPr="009D7D7F">
        <w:rPr>
          <w:rFonts w:ascii="Times New Roman" w:eastAsia="Calibri" w:hAnsi="Times New Roman" w:cs="Times New Roman"/>
          <w:sz w:val="28"/>
          <w:szCs w:val="28"/>
        </w:rPr>
        <w:t>входящи</w:t>
      </w:r>
      <w:r w:rsidR="009D7D7F">
        <w:rPr>
          <w:rFonts w:ascii="Times New Roman" w:eastAsia="Calibri" w:hAnsi="Times New Roman" w:cs="Times New Roman"/>
          <w:sz w:val="28"/>
          <w:szCs w:val="28"/>
        </w:rPr>
        <w:t>й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документ от юридических лиц (в 202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2 947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), подготовлено и направлено в адрес юридических лиц 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2 491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исходящ</w:t>
      </w:r>
      <w:r w:rsidR="009D7D7F">
        <w:rPr>
          <w:rFonts w:ascii="Times New Roman" w:eastAsia="Calibri" w:hAnsi="Times New Roman" w:cs="Times New Roman"/>
          <w:sz w:val="28"/>
          <w:szCs w:val="28"/>
        </w:rPr>
        <w:t>ий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документ </w:t>
      </w:r>
      <w:r w:rsidR="009D7D7F">
        <w:rPr>
          <w:rFonts w:ascii="Times New Roman" w:eastAsia="Calibri" w:hAnsi="Times New Roman" w:cs="Times New Roman"/>
          <w:sz w:val="28"/>
          <w:szCs w:val="28"/>
        </w:rPr>
        <w:br/>
      </w:r>
      <w:r w:rsidRPr="009D7D7F">
        <w:rPr>
          <w:rFonts w:ascii="Times New Roman" w:eastAsia="Calibri" w:hAnsi="Times New Roman" w:cs="Times New Roman"/>
          <w:sz w:val="28"/>
          <w:szCs w:val="28"/>
        </w:rPr>
        <w:t>(в 202</w:t>
      </w:r>
      <w:r w:rsid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2 736</w:t>
      </w:r>
      <w:r w:rsidRPr="009D7D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43B21" w:rsidRDefault="00876CD5" w:rsidP="00DD0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В 202</w:t>
      </w:r>
      <w:r w:rsidR="00DD048F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сотрудниками местной администрации и Совета подготовлено и зарегистрировано 1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78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распоряжений (в 202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– 15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0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D048F">
        <w:rPr>
          <w:rFonts w:ascii="Times New Roman" w:eastAsia="Calibri" w:hAnsi="Times New Roman" w:cs="Times New Roman"/>
          <w:sz w:val="28"/>
          <w:szCs w:val="28"/>
        </w:rPr>
        <w:br/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92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постановления (в 202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2C54" w:rsidRPr="009D7D7F">
        <w:rPr>
          <w:rFonts w:ascii="Times New Roman" w:eastAsia="Calibri" w:hAnsi="Times New Roman" w:cs="Times New Roman"/>
          <w:sz w:val="28"/>
          <w:szCs w:val="28"/>
        </w:rPr>
        <w:t>84</w:t>
      </w:r>
      <w:r w:rsidRPr="009D7D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76CD5" w:rsidRDefault="00876CD5" w:rsidP="00876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877" w:rsidRPr="00425877" w:rsidRDefault="00425877" w:rsidP="0042587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FD3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бюджетного </w:t>
      </w:r>
      <w:r w:rsidR="006E1BDD">
        <w:rPr>
          <w:rFonts w:ascii="Times New Roman" w:eastAsia="Calibri" w:hAnsi="Times New Roman" w:cs="Times New Roman"/>
          <w:b/>
          <w:sz w:val="28"/>
          <w:szCs w:val="28"/>
        </w:rPr>
        <w:t>процесса</w:t>
      </w:r>
    </w:p>
    <w:p w:rsidR="00425877" w:rsidRPr="00425877" w:rsidRDefault="00425877" w:rsidP="0042587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EFA" w:rsidRPr="00413801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образования. </w:t>
      </w:r>
    </w:p>
    <w:p w:rsidR="00137EFA" w:rsidRPr="00413801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Разработка проекта бюджета внутригородского муниципального образования города Севастополя Гагаринский муниципальный округ </w:t>
      </w: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(далее - местный бюджет) и организация исполнения местного бюджета относится к полномочиям местной администрации.</w:t>
      </w:r>
    </w:p>
    <w:p w:rsidR="00137EFA" w:rsidRPr="005415D5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 целью соблюдения норм Бюджетного кодекса РФ, а именно части 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>4 статьи 136 в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между Департаментом финансов города Севастополя и местной администрацией было подписано Соглашение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округ на 2023 год от 1</w:t>
      </w:r>
      <w:r w:rsidR="0005212B"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.01.202</w:t>
      </w:r>
      <w:r w:rsidR="0005212B"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01/07-38/202</w:t>
      </w:r>
      <w:r w:rsidR="0005212B"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5415D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7EFA" w:rsidRPr="006418BA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Для реализации вопросов местного значения и полномочий,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штатном расписании местной администрации по состоянию на 01.01.2024 года утверждены 32 штатные единицы (в том числе 8 штатных единиц для реализации отдельных государственных полномочий в сфере благоустройства). Из них: 1 единица - муниципальная должность (Глава)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28 единиц - должности муниципальной службы, в том числе 8 единиц для реализации отдельных государственных полномочий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3 единицы - должности, не отнесенные к муниципальной службе.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штатном расписании Совета Гагаринского муниципального округа утверждено 2 штатные единицы, из них: 1 единица - муниципальная 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должность (Заместитель председателя Совета)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 единиц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- должность муниципальной службы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конец 202</w:t>
      </w:r>
      <w:r w:rsidR="00DD048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года фактически замещено должностей: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местной администрации – 20,5 единиц, из них: 1 единица - муниципальная должность (Глава)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17 единиц - должности муниципальной службы, в том числе 5 единиц для реализации отдельных государственных полномочий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2,5 единицы - должность, не отнесенная к муниципальной службе.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Совете Гагаринского муниципального округа фактически замещены все штатные единицы.</w:t>
      </w:r>
    </w:p>
    <w:p w:rsidR="00137EFA" w:rsidRDefault="00137EFA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425877" w:rsidRPr="00137EFA" w:rsidRDefault="00922D19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Доходы</w:t>
      </w:r>
    </w:p>
    <w:p w:rsidR="00425877" w:rsidRPr="00CB1BE1" w:rsidRDefault="00425877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A719B9" w:rsidRPr="00A719B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Доходная часть местного бюджета на 2023 год была утверждена в объеме 46 431,4 тыс. руб., исполнение составило 97,6 % или 45 323,5 тыс. руб. </w:t>
      </w:r>
    </w:p>
    <w:p w:rsidR="00A76D0D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Поступления за 2023 год налоговых доходов в части налога на доходы физических лиц составили 7 384,2 тыс. руб. или 95,8 % от планового показателя (7 710,0 тыс. руб.), в части налога, взимаемого с применением патентной системы налогообложения, составили 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856,5 тыс. руб. или 73,4 %, от планового показателя (2 530,7 тыс. руб.). Низкий процент обусловлен возвратом и корректировкой поступлений налога, взимаемого в связи с применением патентной системы налогообложения, а также с переносом срока уплаты налога по патентам на 10 января 2024 года. </w:t>
      </w:r>
    </w:p>
    <w:p w:rsidR="00A719B9" w:rsidRPr="00A719B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Исполнение за отчетный период по неналоговым доходам составило 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 xml:space="preserve">58,8 тыс. руб. или 100,0 % от планового показателя (58,8 тыс. руб.), в том числе административные штрафы, установленные законами субъектов Российской Федерации об административных правонарушениях – 53,8 тыс. руб.; доходы по платежам в целях возмещения причиненного ущерба (убытков)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5,0 тыс. руб.</w:t>
      </w:r>
    </w:p>
    <w:p w:rsidR="00A719B9" w:rsidRPr="00A719B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Безвозмездные поступления из бюджета города Севастополя составили 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 xml:space="preserve">36 066,3 тыс. руб., в том числе: дотации – 13 764,0 тыс. руб. или 100 % </w:t>
      </w:r>
      <w:r w:rsid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от планового показателя (13 764,1 тыс. руб.), субвенции – 22 302,2 руб. или 99,7 % от планового показателя (22 367,8 тыс. руб.). </w:t>
      </w:r>
    </w:p>
    <w:p w:rsidR="00A719B9" w:rsidRPr="00F843F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425877" w:rsidRDefault="00922D19" w:rsidP="007152D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Расходы</w:t>
      </w:r>
    </w:p>
    <w:p w:rsidR="00F843F9" w:rsidRPr="00F843F9" w:rsidRDefault="00F843F9" w:rsidP="007152D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6E39D7" w:rsidRPr="006E39D7" w:rsidRDefault="00A719B9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Исполнение местного бюджета по расходам за 2023 год составило </w:t>
      </w:r>
      <w:r w:rsid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48 955,9 тыс. руб. при плане на год в объеме 49 094,6 тыс. руб. или 99,7 %.</w:t>
      </w:r>
    </w:p>
    <w:p w:rsidR="00A719B9" w:rsidRPr="00A719B9" w:rsidRDefault="00A719B9" w:rsidP="00A719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Группировка структуры исполнения расходов местного бюджета за отчетный период выглядит следующим образом:</w:t>
      </w:r>
    </w:p>
    <w:p w:rsidR="006E39D7" w:rsidRPr="006E39D7" w:rsidRDefault="00A719B9" w:rsidP="00A719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1. «Общегосударственные вопросы» (Раздел 0100) - средства на финансирование общегосударственных вопросов освоены на 99,5 %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26 648,4 тыс. руб. при плане на год в объеме 26 786,6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1.1. Подраздел 0102 «Функционирование высшего должностного лица субъекта Российской Федерации и муниципального образования»</w:t>
      </w:r>
      <w:r w:rsidR="007269D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данному подразделу освоение составило </w:t>
      </w:r>
      <w:r w:rsidR="00A719B9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1 947,8 тыс. руб.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или 99,</w:t>
      </w:r>
      <w:r w:rsid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A719B9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1 949,1 тыс. руб.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). Указанные бюджетные ассигнования направлены на выплату заработной платы, начислений на оплату труда</w:t>
      </w:r>
      <w:r w:rsidR="00E154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5457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 командировочные расходы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Главе внутригородского муниципального образования, исполняющему полномочия председателя Совета, Главе местной администрации.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1.2. Подраздел 0103 «Функционирование законодательных (представительных) органов государственной власти и представительных органов муниципальных образований».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2 144,6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99,</w:t>
      </w:r>
      <w:r w:rsid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2 153,2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Указанные бюджетные ассигнования были направлены на выплату заработной платы и начислений сотрудникам Совета Гагаринского муниципального округа, расходы на оплату услуг связи, прочих услуг, приобретение канцелярских товаров, приобретение основных средств для функционирования Совета и т.п.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1.3.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22 168,2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99,4 % от планового показателя (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22 296,4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Указанные бюджетные ассигнования в отчетном периоде были направлены на заработную плату и начисления муниципальных служащих, включая муниципальных служащих исполняющих отдельные государственные полномочия в сфере благоустройства (финансирование за счет средств субвенции) и технических работников, командировочные расходы, расходы на заправку картриджей, оплату информационных услуг «1С Бухгалтерия», приобретение канцелярских и хозяйственных товаров, приобретение полиграфической продукции, расходы на приобретение бензина и расходных ча</w:t>
      </w:r>
      <w:r w:rsidR="00D7564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стей для служебного автомобиля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564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также прочие расходы на обеспечение деятельности муниципальных служащих, исполняющих переданные отдельные государственные полномочия в сфере благоустройства, производимые за счет средств субвенции и средств местного бюджета.</w:t>
      </w:r>
    </w:p>
    <w:p w:rsidR="006E39D7" w:rsidRPr="006E39D7" w:rsidRDefault="00D75641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1.4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Подраздел 0113 «Другие общегосударственные вопросы»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в 202</w:t>
      </w:r>
      <w:r w:rsidR="00A128A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было освоено </w:t>
      </w:r>
      <w:r w:rsidR="00645FE2" w:rsidRP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387,9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645FE2" w:rsidRP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387,9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руб.), из них:</w:t>
      </w:r>
    </w:p>
    <w:p w:rsidR="006E39D7" w:rsidRPr="006E39D7" w:rsidRDefault="006E39D7" w:rsidP="0009358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154,2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154,2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были направлены на реализацию мероприятий муниципальной программы 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2022 - 2026 годы», а именно: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изготовлен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ие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печатн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ой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продукция по профилактике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терроризма и экстремизма, которая в последующем была распространена среди населения округа (в большей части в общеобразовательных учреждениях) с целью профилактики последствий терроризма и экстремизма среди молодежи в количестве 100 штук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Кроме того, в рамках реализации данной программы были проведены мероприятия, </w:t>
      </w:r>
      <w:r w:rsidRP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посвященные Дню России и Дню народного единства;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- 2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(2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,5 тыс. руб.)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которые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были направлены на изготовление печатной продукции по охране общественного порядка в количестве </w:t>
      </w:r>
      <w:r w:rsidR="00967CF0" w:rsidRP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 w:rsid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CF0" w:rsidRP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000 штук памяток и 250 плакатов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рамках реализации мероприятий муниципальной программы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2022 - 2026 годы»;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- 60,2 тыс. руб. или 100 % от планового показателя (60,2 тыс. руб.) были направлены на реализацию мероприятий по ведению </w:t>
      </w:r>
      <w:proofErr w:type="spellStart"/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книг в целях учета личных подсобных хозяйств, предоставлению выписок из них, на услуги по сплошному обходу 604 хозяйств и опросу членов хозяйств для внесения сведений в </w:t>
      </w:r>
      <w:proofErr w:type="spellStart"/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похозяйственные</w:t>
      </w:r>
      <w:proofErr w:type="spellEnd"/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книги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645FE2" w:rsidRPr="006E39D7" w:rsidRDefault="00645FE2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- 150,0 тыс. руб. на уплату членских взносов в ассоциацию «Совет муниципальных образований города Севастополя», которые в июне 2023 года в полном объеме были перечислены в ассоциацию «Совет муниципальных образований города Севастополя».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 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освоение составило 3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,5 тыс. руб. или 100,0 % от планового показателя (3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,5 тыс. руб.). Указанные бюджетные ассигнования были направлены на разработку, изготовление и распространение памяток и плакатов в количестве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250 штук плакатов и 1000 штук памяток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а также на </w:t>
      </w:r>
      <w:r w:rsidR="002963B9" w:rsidRPr="002963B9">
        <w:rPr>
          <w:rFonts w:ascii="Times New Roman" w:eastAsia="Arial" w:hAnsi="Times New Roman" w:cs="Times New Roman"/>
          <w:sz w:val="28"/>
          <w:szCs w:val="28"/>
          <w:lang w:eastAsia="ru-RU"/>
        </w:rPr>
        <w:t>изготовление и размещение стендов «Гражданская оборона и защита населения от Чрезвычайных ситуаций» и «Уголок пожарной безопасности»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реализации мероприятий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образования города Севастополя Гагаринский муниципальный округ на 2022 - 2026 годы».</w:t>
      </w:r>
    </w:p>
    <w:p w:rsidR="00916D4D" w:rsidRPr="00916D4D" w:rsidRDefault="006E39D7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</w:t>
      </w:r>
      <w:r w:rsidR="00916D4D" w:rsidRPr="00916D4D">
        <w:t xml:space="preserve"> 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подразделу 0503 «Благоустройство» в 2023 году освоение составило 15 518,1 тыс. руб. или 100</w:t>
      </w:r>
      <w:r w:rsidR="000525E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,0 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% от планового показателя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(15 518,1 тыс. руб.), и направлены на следующие мероприятия:</w:t>
      </w:r>
    </w:p>
    <w:p w:rsidR="00916D4D" w:rsidRP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по мероприятиям, направленным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 исполнение составило 7 000,0 тыс. руб. или 100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,0 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% от планового показателя (7 000,0 тыс. руб.)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6D4D" w:rsidRP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- по мероприятиям, направленным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 исполнение составило 5 395,1 тыс. руб. или 100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,0 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(5 395,1 тыс. руб.);</w:t>
      </w:r>
    </w:p>
    <w:p w:rsid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и содержание спортивных и детских игровых площадок (комплексов) на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3 100,0 тыс. руб. или 100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,0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(3 100,0 тыс. руб.)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Решением Совета Гагаринского муниципального округа                                  от 27 октября 2023 г. № 143 «О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Севастополя» было определено направление расходов средств местного бюджета на мероприятия, направленные на ремонт и содержание внутриквартальных дорог на территории внутригородского муниципального образования. Объем расходов, направленный на ремонт и содержание внутриквартальных дорог на территории внутригородского муниципального образования за счет средств местного бюджета, составил 23,0 тыс. руб. или 100,0 % от планового показателя (23,0 тыс. руб.).</w:t>
      </w:r>
    </w:p>
    <w:p w:rsidR="006E39D7" w:rsidRPr="006E39D7" w:rsidRDefault="006E39D7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 По подразделу 0707 «Молодежная политика» освоение составило                            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366,3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366,3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Указанный объем бюджетных ассигнований был направлен на проведение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13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 w:rsidR="002963B9" w:rsidRPr="002963B9">
        <w:rPr>
          <w:rFonts w:ascii="Times New Roman" w:eastAsia="Arial" w:hAnsi="Times New Roman" w:cs="Times New Roman"/>
          <w:sz w:val="28"/>
          <w:szCs w:val="28"/>
          <w:lang w:eastAsia="ru-RU"/>
        </w:rPr>
        <w:t>7 мероприятий проведено за счет средств местного бюджета)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рамках реализации мероприятий муниципальной программы «Организация и осуществление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мероприятий по работе с детьми и молодежью во внутригородском муниципальном образовании города Севастополя Гагаринский муниципальный округ на 2022 - 2026 годы», 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таких как: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мероприятие, посвященное Дню защиты детей, 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Дню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«Семья, любовь и верность», Дню знаний, мероприятие, 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Дню молодежи,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мероприятие «Под Российским флагом»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 др.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 По подразделу 0801 «Культура» за 202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было освоено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3 787,3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100,0% от планового показателя (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3 786,8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Бюджетные ассигнования по данному подразделу были направлены на проведение праздничных, культурных и торжественных мероприятий в количестве </w:t>
      </w:r>
      <w:r w:rsidR="00554A62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23</w:t>
      </w:r>
      <w:r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программных мероприятий, таких как: мероприятия, посвященные Международному Женскому Дню, Дню возвращения города Севастополя в Россию, празднованию всемирного дня авиации и космонавтики, Дню весны и труда, Дню Победы, Дню местного самоуправления, Дню рыбака, Дню учителя, Дню пожилого человека, Дню Гагаринского района, Дню матери Международному дню инвалида, а также мероприятия, посвященные Новому году, Дню воинской славы и Дню неизвестного солдата (в том числе без выделения денежных средств: мероприятие, посвященное Дню местного самоуправления).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6. По подразделу 1001 «Пенсионное обеспечение» освоение составило                        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89,2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100,0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% от планового показателя (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89,2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руб.), которые были направлены на выплату пенсии за выслугу лет муниципальному служащему местной администрации.</w:t>
      </w:r>
    </w:p>
    <w:p w:rsidR="006E39D7" w:rsidRP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 подразделу 1101 «Физическая культура» освоение составило                                    1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521,4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100,0% от планового показателя (1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521,4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Указанные средства были направлены на </w:t>
      </w:r>
      <w:r w:rsidR="006E39D7" w:rsidRP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18</w:t>
      </w:r>
      <w:r w:rsidR="006E39D7" w:rsidRP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спортивных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й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рамках муниципальной программы «Развитие физической культуры и массового спорта, организация проведения официальных 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2022 - 2026 годы», </w:t>
      </w:r>
      <w:r w:rsidR="006E39D7" w:rsidRP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таких как: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турнир по мини-футболу, турнир по дзюдо,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турнир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 по быстрым шахматам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первенство по самбо, первенство по тхэквондо, парусн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ые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регат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первенство по спортивной аэробике, шахматный турнир и другие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 Разделу 1200 «Средства массовой информации» подразделу 1204 «Другие вопросы в области средств массовой информации» освоение составило 932,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100,0 % от планового показателя </w:t>
      </w:r>
      <w:r w:rsid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993,2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Указанный объем бюджетных ассигнований был направлен на издание 11-ти выпусков муниципальной газеты «Гагаринский муниципальный вестник» в рамках реализации мероприятий муниципальной программы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 на 2022 - 2026 годы», что привело к улучшению качества  информирования жителей Гагаринского округа о деятельности органов местного самоуправления.</w:t>
      </w:r>
      <w:r w:rsid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202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выплата заработной платы служащим и работникам органов местного самоуправления осуществлялись своевременно. Оплата по муниципальным контрактам на поставку товаров, работ, услуг производилась согласно условий, указанных в муниципальных контрактах, в установленный срок, ввиду чего по состоянию на 01.01.202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кредиторская задолженность отсутствует.</w:t>
      </w: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состоянию на 01 января 2024 г. сумма фактически начисленной заработной платы с учетом начислений по органам местного самоуправления Гагаринского муниципального округа, за исключением муниципальных служащих, исполняющих отдельные переданные государственные полномочия в сфере благоустройства, составила 17 636,2 тыс. руб., в том числе заработная плата без учета начислений – 13 572,4 тыс. руб. Из них заработная плата лиц, не являющихся муниципальными служащими составила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1 199,6 тыс. руб., в том числе без учета начислений на оплату труда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923,9 тыс. руб. Таким образом, среднемесячная заработная плата в целом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1 муниципального служащего (включая выборных должностных лиц) по состоянию на отчетную дату составила 70,3 тыс. руб. - на фактически занятые штатные единицы или 45,8 тыс. руб. - на штатные единицы.</w:t>
      </w: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состоянию на 01 января 2024 г. сумма фактически начисленной заработной платы с учетом начислений по муниципальным служащим, исполняющим отдельные переданные государственные полномочия в сфере благоустройства, составила 5 717,5 тыс. руб., в том числе заработная плата без учета начислений 4 399,4 тыс. руб. Среднемесячная заработная плата в целом на 1 муниципального служащего, исполняющего отдельные переданные государственные полномочия в сфере благоустройства по состоянию на отчетную дату, составила 73,3 тыс. руб. - на фактически занятые штатные единицы или 45,8 тыс. руб. - на штатные единицы. </w:t>
      </w:r>
    </w:p>
    <w:p w:rsid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Среднемесячная заработная плата работников, не отнесенных к муниципальной службе за отчетный период составила 30,8 тыс. руб. - на фактически занятые штатные единицы или 25,7 тыс. руб. - на штатные единицы. </w:t>
      </w:r>
    </w:p>
    <w:p w:rsidR="0014016D" w:rsidRPr="00F843F9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14016D" w:rsidRPr="0014016D" w:rsidRDefault="0014016D" w:rsidP="00F843F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сточники</w:t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финансирования</w:t>
      </w:r>
      <w:proofErr w:type="gramEnd"/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дефицита</w:t>
      </w:r>
    </w:p>
    <w:p w:rsidR="0014016D" w:rsidRDefault="00F843F9" w:rsidP="00F843F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бюджета</w:t>
      </w:r>
    </w:p>
    <w:p w:rsidR="00F843F9" w:rsidRPr="00F843F9" w:rsidRDefault="00F843F9" w:rsidP="0014016D">
      <w:pPr>
        <w:spacing w:after="0" w:line="240" w:lineRule="auto"/>
        <w:ind w:firstLine="700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Решением Совета Гагаринского муниципального округа от 20 декабря 2023 г. № 150 «О внесении изменений в решение Совета Гагаринского муниципального округа от 28 декабря 2022 г. № 108 «О бюджете внутригородского муниципального образования города Севастополя Гагаринский муниципальный округ на 2023 год и на плановый период 2024 и 2025 годов» утвержден дефицит местного бюджета в размере 2 663,2 тыс. руб. за счет включения остатков средств местного бюджета, сложившихся по состоянию на 01 января 2023 г., в источники финансирования дефицита местного бюджета в части снижения остатков средств на едином счете местного бюджета.</w:t>
      </w: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Объем дефицита местного бюджета не превышает норматив, установленный статьей 92.1. Бюджетного кодекса Российской Федерации.</w:t>
      </w:r>
    </w:p>
    <w:p w:rsidR="00C5073D" w:rsidRPr="00425877" w:rsidRDefault="00922D19" w:rsidP="0056485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25877" w:rsidRPr="00580FEF" w:rsidRDefault="0017034C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Реализация полномочий </w:t>
      </w:r>
    </w:p>
    <w:p w:rsidR="00CB1BE1" w:rsidRPr="00580FEF" w:rsidRDefault="00425877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в рамках</w:t>
      </w:r>
      <w:r w:rsidR="00CB1BE1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03C3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решения вопросов местного </w:t>
      </w:r>
      <w:r w:rsidR="00C403C3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значения</w:t>
      </w:r>
      <w:r w:rsidR="00C10E2C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403C3" w:rsidRPr="00F843F9" w:rsidRDefault="00C403C3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16"/>
          <w:szCs w:val="16"/>
          <w:lang w:eastAsia="ru-RU"/>
        </w:rPr>
      </w:pPr>
    </w:p>
    <w:p w:rsidR="006A1B24" w:rsidRPr="00DA3E55" w:rsidRDefault="006A1B24" w:rsidP="006A1B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реализации полномочий в 202</w:t>
      </w:r>
      <w:r w:rsidR="00DA3E55"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году было проведено более                  </w:t>
      </w:r>
      <w:r w:rsidR="00DA3E55"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>60</w:t>
      </w: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мероприятий по направлениям культура, работа с детьми и молодежью, предупреждение и ликвидация чрезвычайных ситуаций, организация общественного порядка, профилактика терроризма и экстремизма, охрана общественного порядка, организация досуга жителей Гагаринского района, спорт. Из наиболее значимых мероприятий можно выделить: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</w:t>
      </w:r>
      <w:r w:rsidR="00967CF0">
        <w:rPr>
          <w:rFonts w:ascii="Times New Roman" w:eastAsia="Arial" w:hAnsi="Times New Roman" w:cs="Times New Roman"/>
          <w:sz w:val="28"/>
          <w:szCs w:val="28"/>
          <w:lang w:eastAsia="ru-RU"/>
        </w:rPr>
        <w:t>ень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Победы (концерт и возложение цветов к Обелиску памяти (</w:t>
      </w:r>
      <w:proofErr w:type="spellStart"/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Фиолент</w:t>
      </w:r>
      <w:proofErr w:type="spellEnd"/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приняли участие около 450 человек, в том числе и ветераны, и участники ВОВ, вручены подарки 150 ветеранам); 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Международный женский день (организован праздничный концерт, приняли участие 50 человек);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Международный день пожилого человека (организован праздничный концерт, приняли участие 250 человек);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- День Знаний, День учителя (организовано посещение театра, приняли участие 136 человек); 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День основания Гагаринского района города Севастополя, в том числе открытие Доски Почета Гагаринского района города Севастополя (организован праздничный концерт, приняли участие 450 человек);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День матери (в ходе торжественного мероприятия, были вручены подарки 200 многодетным матерям (многодетных семей);</w:t>
      </w:r>
    </w:p>
    <w:p w:rsid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Новый год (приобретено 2134 билет на одиннадцать спектаклей для детей на новогодние сказки с вручением подарков детям, вручено 2 369 подарков).</w:t>
      </w:r>
    </w:p>
    <w:p w:rsidR="00967CF0" w:rsidRPr="003248FD" w:rsidRDefault="00967CF0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- День защиты детей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(в ходе торжественного мероприятия, были вручены подарки (термоса) в количестве 30 шт.).</w:t>
      </w:r>
    </w:p>
    <w:p w:rsidR="00967CF0" w:rsidRPr="003248FD" w:rsidRDefault="00967CF0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- День «Семья, любовь и верность»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(организовано посещение театра, приняли участие 40 человек).</w:t>
      </w: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67CF0" w:rsidRPr="003248FD" w:rsidRDefault="00967CF0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- Всемирный День молодежи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(организовано посещение </w:t>
      </w:r>
      <w:proofErr w:type="spellStart"/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ТЮЗа</w:t>
      </w:r>
      <w:proofErr w:type="spellEnd"/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, приняли участие 199 человек).</w:t>
      </w:r>
    </w:p>
    <w:p w:rsidR="00B958DE" w:rsidRPr="005D1A44" w:rsidRDefault="00B958DE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День Рыбака 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(в ходе праздничного мероприятия было приготовлено 1500 порций ухи, приняли участие </w:t>
      </w:r>
      <w:r w:rsidR="003248FD">
        <w:rPr>
          <w:rFonts w:ascii="Times New Roman" w:eastAsia="Arial" w:hAnsi="Times New Roman" w:cs="Times New Roman"/>
          <w:sz w:val="28"/>
          <w:szCs w:val="28"/>
          <w:lang w:eastAsia="ru-RU"/>
        </w:rPr>
        <w:t>более 8 000 человек).</w:t>
      </w:r>
    </w:p>
    <w:p w:rsidR="00035634" w:rsidRDefault="006A1B24" w:rsidP="00967C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 по организации проведения официальных физкультурно-оздоровительных и спортивных мероприятий, согласно утвержденному календарному пл</w:t>
      </w:r>
      <w:r w:rsidR="00584651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ану. За 202</w:t>
      </w:r>
      <w:r w:rsidR="005D1A44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="00584651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года были проведено </w:t>
      </w:r>
      <w:r w:rsidR="00967CF0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D1A44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первенства по дзюдо</w:t>
      </w:r>
      <w:r w:rsidR="00967CF0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, 4 Парусные регаты, 2 т</w:t>
      </w: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урнира по мини-футболу, </w:t>
      </w:r>
      <w:r w:rsidR="00967CF0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2 первенства по тхэквондо, 1 первенство по спортивной аэробике, 2 первенства по самбо, 5 турниров по быстрым шахматам.</w:t>
      </w:r>
      <w:r w:rsid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Общее количество участников спортивных соревнований составило </w:t>
      </w:r>
      <w:r w:rsidR="005D1A44"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5 800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человек.</w:t>
      </w:r>
    </w:p>
    <w:p w:rsidR="007E71F5" w:rsidRDefault="007E71F5" w:rsidP="006A1B24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B35DF" w:rsidRDefault="0017034C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отдельных переданных полномочий</w:t>
      </w:r>
      <w:r w:rsidR="00B17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0211" w:rsidRPr="009C202B" w:rsidRDefault="00A40211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2023 году расходы на реализацию отдельных государственных полномочий по выполнению мероприятий в сфере благоустройства осуществлялись в соответствии с Законом города Севастополя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от 29 декабря 2016 г. № 314-ЗС «О наделении органов местного самоуправления в городе Севастополе отдельными государственными полномочиями города Севастополя». </w:t>
      </w: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Для реализации полномочий органов местного самоуправления в рамках реализации отдельных государственных полномочий города Севастополя во внутригородском муниципальном образовании в 202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году была утверждена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годы».</w:t>
      </w:r>
    </w:p>
    <w:p w:rsid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рамках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реализаци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отдельных государственных полномочий по выполнению мероприятий в сфере благоустройства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2023 году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были осуществлены следующие мероприятия:</w:t>
      </w: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- мероприятия, направленные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В рамках исполнения данного мероприятия в 2023 году был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осуществлен в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воз мусора в объеме 5</w:t>
      </w:r>
      <w:r w:rsidR="009F20F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614,54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куб. м.</w:t>
      </w: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рамках </w:t>
      </w:r>
      <w:r w:rsidR="00E77167">
        <w:rPr>
          <w:rFonts w:ascii="Times New Roman" w:eastAsia="Arial" w:hAnsi="Times New Roman" w:cs="Times New Roman"/>
          <w:sz w:val="28"/>
          <w:szCs w:val="28"/>
          <w:lang w:eastAsia="ru-RU"/>
        </w:rPr>
        <w:t>текущего ремонта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2023 году был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приобретен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установлен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элемент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благоустройства в количестве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19 штук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(1 пластиковая горка, 1 карусель, </w:t>
      </w:r>
      <w:r w:rsidR="007F10D9" w:rsidRPr="007F10D9">
        <w:rPr>
          <w:rFonts w:ascii="Times New Roman" w:eastAsia="Arial" w:hAnsi="Times New Roman" w:cs="Times New Roman"/>
          <w:sz w:val="28"/>
          <w:szCs w:val="28"/>
          <w:lang w:eastAsia="ru-RU"/>
        </w:rPr>
        <w:t>3 подвесные</w:t>
      </w:r>
      <w:r w:rsidR="007F10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детские качели, 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 уличный маятниковый тренажер, </w:t>
      </w:r>
      <w:r w:rsidR="007F10D9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7F10D9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антипарковочных</w:t>
      </w:r>
      <w:proofErr w:type="spellEnd"/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столбиков)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67774C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В рамках исполнения данного мероприятия в 2023 году осуществлялось содержание </w:t>
      </w:r>
      <w:r w:rsidR="0067774C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55 спортивных и детских игровых площадок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67774C" w:rsidRDefault="0067774C" w:rsidP="0067774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мероприятия, направленные на ремонт и содержание внутриквартальных дорог на территории внутригородского муниципального образования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рамках исполнения данного мероприятия в 2023 году в соответствии с </w:t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Решением Совета Гагаринского муниципального округа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27 октября 2023 г.№ 143 «О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Севастополя»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был осуществлен ремонт 6 кв. м.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внутриквартальн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ых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дорог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районе ГБОУ СОШ № 29 по </w:t>
      </w:r>
      <w:r w:rsidR="00593913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ул. Л. Чайкиной 80; в районе ул. Колобова 17; в районе ул. Фадеева 23а; </w:t>
      </w:r>
      <w:r w:rsidR="00593913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в районе ул.Колобова19</w:t>
      </w:r>
      <w:r w:rsidR="00593913" w:rsidRPr="0059391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93913">
        <w:rPr>
          <w:rFonts w:ascii="Times New Roman" w:eastAsia="Arial" w:hAnsi="Times New Roman" w:cs="Times New Roman"/>
          <w:sz w:val="28"/>
          <w:szCs w:val="28"/>
          <w:lang w:eastAsia="ru-RU"/>
        </w:rPr>
        <w:t>за счет средств местного бюджета</w:t>
      </w:r>
      <w:r w:rsidR="0014016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5D1A44" w:rsidRDefault="0067774C" w:rsidP="005D1A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Расходы в рамках исполнения переданного отдельного государственного полномочия по ведению </w:t>
      </w:r>
      <w:proofErr w:type="spellStart"/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книг в целях учета личных подсобных хозяйств, предоставления выписок из них –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60,2 тыс. руб. или 100,0 % от уточненного плана 60,2 тыс. руб. оплачены услуги по сплошному обходу 604 личных подсобных хозяйств, количество открытых лицевых счетов (записей в </w:t>
      </w:r>
      <w:proofErr w:type="spellStart"/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книге) составило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25 личных подсобных хозяйства).</w:t>
      </w:r>
    </w:p>
    <w:p w:rsidR="0014016D" w:rsidRPr="0014016D" w:rsidRDefault="0014016D" w:rsidP="005D1A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 2023 год расходы на реализацию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правонарушениях, предусмотренных статьей 11.1 Закона города Севастополя от 17.04.2015 года № 130-ЗС «Об административных правонарушениях» не осуществлялись. </w:t>
      </w:r>
    </w:p>
    <w:p w:rsidR="0014016D" w:rsidRPr="007D122A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B53C5B" w:rsidRPr="0017034C" w:rsidRDefault="00B53C5B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4016D" w:rsidRDefault="006E48E2" w:rsidP="00387D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внутригородского муниципального образования                                     исполняющий полномочия председателя Совета,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br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местной администрации</w:t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              </w:t>
      </w:r>
      <w:r w:rsidRPr="009847ED">
        <w:rPr>
          <w:rFonts w:ascii="Times New Roman" w:eastAsia="Calibri" w:hAnsi="Times New Roman" w:cs="Times New Roman"/>
          <w:sz w:val="28"/>
          <w:szCs w:val="28"/>
          <w:lang w:eastAsia="ru-RU"/>
        </w:rPr>
        <w:t>А.Ю. Ярусов</w:t>
      </w:r>
    </w:p>
    <w:p w:rsidR="00BC368A" w:rsidRPr="00425877" w:rsidRDefault="00BC368A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sectPr w:rsidR="00BC368A" w:rsidRPr="00425877" w:rsidSect="00DD225F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B0" w:rsidRDefault="00375CB0" w:rsidP="00AC277D">
      <w:pPr>
        <w:spacing w:after="0" w:line="240" w:lineRule="auto"/>
      </w:pPr>
      <w:r>
        <w:separator/>
      </w:r>
    </w:p>
  </w:endnote>
  <w:endnote w:type="continuationSeparator" w:id="0">
    <w:p w:rsidR="00375CB0" w:rsidRDefault="00375CB0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B0" w:rsidRDefault="00375CB0" w:rsidP="00AC277D">
      <w:pPr>
        <w:spacing w:after="0" w:line="240" w:lineRule="auto"/>
      </w:pPr>
      <w:r>
        <w:separator/>
      </w:r>
    </w:p>
  </w:footnote>
  <w:footnote w:type="continuationSeparator" w:id="0">
    <w:p w:rsidR="00375CB0" w:rsidRDefault="00375CB0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199651"/>
      <w:docPartObj>
        <w:docPartGallery w:val="Page Numbers (Top of Page)"/>
        <w:docPartUnique/>
      </w:docPartObj>
    </w:sdtPr>
    <w:sdtEndPr/>
    <w:sdtContent>
      <w:p w:rsidR="00ED3445" w:rsidRDefault="00ED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922">
          <w:rPr>
            <w:noProof/>
          </w:rPr>
          <w:t>13</w:t>
        </w:r>
        <w:r>
          <w:fldChar w:fldCharType="end"/>
        </w:r>
      </w:p>
    </w:sdtContent>
  </w:sdt>
  <w:p w:rsidR="00ED3445" w:rsidRDefault="00ED34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CB6"/>
    <w:multiLevelType w:val="hybridMultilevel"/>
    <w:tmpl w:val="9CD082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16C23"/>
    <w:rsid w:val="000273B5"/>
    <w:rsid w:val="00035634"/>
    <w:rsid w:val="00037576"/>
    <w:rsid w:val="0005212B"/>
    <w:rsid w:val="000525E6"/>
    <w:rsid w:val="0006100A"/>
    <w:rsid w:val="00067D0D"/>
    <w:rsid w:val="00070F53"/>
    <w:rsid w:val="000716AB"/>
    <w:rsid w:val="000772BE"/>
    <w:rsid w:val="00086F87"/>
    <w:rsid w:val="00093588"/>
    <w:rsid w:val="00095036"/>
    <w:rsid w:val="0009643E"/>
    <w:rsid w:val="000B4BA9"/>
    <w:rsid w:val="000B5EA8"/>
    <w:rsid w:val="000B6813"/>
    <w:rsid w:val="000C31D2"/>
    <w:rsid w:val="000C4B37"/>
    <w:rsid w:val="000C7783"/>
    <w:rsid w:val="000D5F5D"/>
    <w:rsid w:val="000E6703"/>
    <w:rsid w:val="000F5662"/>
    <w:rsid w:val="00107EC9"/>
    <w:rsid w:val="001116E2"/>
    <w:rsid w:val="001178A5"/>
    <w:rsid w:val="00117AA1"/>
    <w:rsid w:val="0012378D"/>
    <w:rsid w:val="0012433A"/>
    <w:rsid w:val="0013179E"/>
    <w:rsid w:val="00137EFA"/>
    <w:rsid w:val="0014016D"/>
    <w:rsid w:val="00141B58"/>
    <w:rsid w:val="00145156"/>
    <w:rsid w:val="00154A8C"/>
    <w:rsid w:val="00154AAA"/>
    <w:rsid w:val="00162498"/>
    <w:rsid w:val="0017034C"/>
    <w:rsid w:val="00181740"/>
    <w:rsid w:val="001955EE"/>
    <w:rsid w:val="001A1CA4"/>
    <w:rsid w:val="001B1759"/>
    <w:rsid w:val="001C1FD3"/>
    <w:rsid w:val="001C4E9E"/>
    <w:rsid w:val="001C705D"/>
    <w:rsid w:val="001C7EC0"/>
    <w:rsid w:val="001D5F40"/>
    <w:rsid w:val="001F074B"/>
    <w:rsid w:val="0020140F"/>
    <w:rsid w:val="002070FB"/>
    <w:rsid w:val="00214953"/>
    <w:rsid w:val="002233C3"/>
    <w:rsid w:val="00236277"/>
    <w:rsid w:val="002402A9"/>
    <w:rsid w:val="00243B21"/>
    <w:rsid w:val="00257693"/>
    <w:rsid w:val="0026173A"/>
    <w:rsid w:val="002620F9"/>
    <w:rsid w:val="00266690"/>
    <w:rsid w:val="00291402"/>
    <w:rsid w:val="00293A05"/>
    <w:rsid w:val="00293D88"/>
    <w:rsid w:val="00295E75"/>
    <w:rsid w:val="002963B9"/>
    <w:rsid w:val="002A69ED"/>
    <w:rsid w:val="002B201A"/>
    <w:rsid w:val="002B47C8"/>
    <w:rsid w:val="002C2CB2"/>
    <w:rsid w:val="002D0314"/>
    <w:rsid w:val="002D75C3"/>
    <w:rsid w:val="002E72A6"/>
    <w:rsid w:val="002E7F83"/>
    <w:rsid w:val="002F2FDB"/>
    <w:rsid w:val="002F6B5A"/>
    <w:rsid w:val="003072B2"/>
    <w:rsid w:val="00313EBC"/>
    <w:rsid w:val="0031457E"/>
    <w:rsid w:val="003225E3"/>
    <w:rsid w:val="003248FD"/>
    <w:rsid w:val="0033306C"/>
    <w:rsid w:val="0033393A"/>
    <w:rsid w:val="00335BA9"/>
    <w:rsid w:val="00353300"/>
    <w:rsid w:val="00362D7C"/>
    <w:rsid w:val="003656DB"/>
    <w:rsid w:val="00366423"/>
    <w:rsid w:val="00375CB0"/>
    <w:rsid w:val="00377299"/>
    <w:rsid w:val="00387D16"/>
    <w:rsid w:val="00396993"/>
    <w:rsid w:val="003A48D0"/>
    <w:rsid w:val="003B4D07"/>
    <w:rsid w:val="003B4E4B"/>
    <w:rsid w:val="003B5734"/>
    <w:rsid w:val="003C3AD2"/>
    <w:rsid w:val="003D026B"/>
    <w:rsid w:val="003D4266"/>
    <w:rsid w:val="003D4C9D"/>
    <w:rsid w:val="003E0666"/>
    <w:rsid w:val="003E65DA"/>
    <w:rsid w:val="003E7E15"/>
    <w:rsid w:val="003F23D0"/>
    <w:rsid w:val="003F6513"/>
    <w:rsid w:val="003F7C81"/>
    <w:rsid w:val="004132C0"/>
    <w:rsid w:val="00413801"/>
    <w:rsid w:val="00425877"/>
    <w:rsid w:val="004518DA"/>
    <w:rsid w:val="0046512B"/>
    <w:rsid w:val="00472715"/>
    <w:rsid w:val="00476DB6"/>
    <w:rsid w:val="00480ECC"/>
    <w:rsid w:val="00481A45"/>
    <w:rsid w:val="0048398F"/>
    <w:rsid w:val="0049790B"/>
    <w:rsid w:val="004A0D48"/>
    <w:rsid w:val="004A21C1"/>
    <w:rsid w:val="004A5210"/>
    <w:rsid w:val="004A7648"/>
    <w:rsid w:val="004B7EC4"/>
    <w:rsid w:val="004E14E4"/>
    <w:rsid w:val="004E3DFE"/>
    <w:rsid w:val="00500844"/>
    <w:rsid w:val="00516964"/>
    <w:rsid w:val="00517DCB"/>
    <w:rsid w:val="00526902"/>
    <w:rsid w:val="00532AD2"/>
    <w:rsid w:val="005377C1"/>
    <w:rsid w:val="005415D5"/>
    <w:rsid w:val="00544D31"/>
    <w:rsid w:val="005544EE"/>
    <w:rsid w:val="00554A62"/>
    <w:rsid w:val="0056485B"/>
    <w:rsid w:val="00566ADA"/>
    <w:rsid w:val="005732EB"/>
    <w:rsid w:val="00580FEF"/>
    <w:rsid w:val="00584651"/>
    <w:rsid w:val="00593913"/>
    <w:rsid w:val="005A4273"/>
    <w:rsid w:val="005A61C2"/>
    <w:rsid w:val="005A6A3F"/>
    <w:rsid w:val="005B3B4C"/>
    <w:rsid w:val="005C20BB"/>
    <w:rsid w:val="005C63DB"/>
    <w:rsid w:val="005D0FF5"/>
    <w:rsid w:val="005D1A44"/>
    <w:rsid w:val="005D7F3E"/>
    <w:rsid w:val="005E349A"/>
    <w:rsid w:val="005F14EC"/>
    <w:rsid w:val="00605354"/>
    <w:rsid w:val="00621D40"/>
    <w:rsid w:val="0062325E"/>
    <w:rsid w:val="0063004F"/>
    <w:rsid w:val="00630A51"/>
    <w:rsid w:val="0063325C"/>
    <w:rsid w:val="006351FF"/>
    <w:rsid w:val="00635E42"/>
    <w:rsid w:val="00636489"/>
    <w:rsid w:val="006418BA"/>
    <w:rsid w:val="00641BA1"/>
    <w:rsid w:val="00643FE4"/>
    <w:rsid w:val="00645FE2"/>
    <w:rsid w:val="00647FD0"/>
    <w:rsid w:val="00656996"/>
    <w:rsid w:val="006716C0"/>
    <w:rsid w:val="0067506D"/>
    <w:rsid w:val="0067774C"/>
    <w:rsid w:val="006848EA"/>
    <w:rsid w:val="006A117F"/>
    <w:rsid w:val="006A1A5B"/>
    <w:rsid w:val="006A1B24"/>
    <w:rsid w:val="006A422A"/>
    <w:rsid w:val="006A5EB7"/>
    <w:rsid w:val="006A72FB"/>
    <w:rsid w:val="006B4EF3"/>
    <w:rsid w:val="006C3E21"/>
    <w:rsid w:val="006D09AA"/>
    <w:rsid w:val="006D147C"/>
    <w:rsid w:val="006D4805"/>
    <w:rsid w:val="006E1BDD"/>
    <w:rsid w:val="006E39D7"/>
    <w:rsid w:val="006E48E2"/>
    <w:rsid w:val="006E4E66"/>
    <w:rsid w:val="006F7D8B"/>
    <w:rsid w:val="00704036"/>
    <w:rsid w:val="007062F9"/>
    <w:rsid w:val="007101A5"/>
    <w:rsid w:val="007152D9"/>
    <w:rsid w:val="007269DD"/>
    <w:rsid w:val="00730988"/>
    <w:rsid w:val="007343AA"/>
    <w:rsid w:val="007343FD"/>
    <w:rsid w:val="00734512"/>
    <w:rsid w:val="00746CD9"/>
    <w:rsid w:val="00755690"/>
    <w:rsid w:val="00784C6D"/>
    <w:rsid w:val="007864A6"/>
    <w:rsid w:val="0079554C"/>
    <w:rsid w:val="00796D11"/>
    <w:rsid w:val="007A17F7"/>
    <w:rsid w:val="007A50DA"/>
    <w:rsid w:val="007A5998"/>
    <w:rsid w:val="007B02FC"/>
    <w:rsid w:val="007B69D6"/>
    <w:rsid w:val="007C2EDB"/>
    <w:rsid w:val="007C765E"/>
    <w:rsid w:val="007D0E55"/>
    <w:rsid w:val="007D177D"/>
    <w:rsid w:val="007D1DCB"/>
    <w:rsid w:val="007D552F"/>
    <w:rsid w:val="007E4ADF"/>
    <w:rsid w:val="007E71F5"/>
    <w:rsid w:val="007F03DE"/>
    <w:rsid w:val="007F10D9"/>
    <w:rsid w:val="007F3334"/>
    <w:rsid w:val="007F4BB5"/>
    <w:rsid w:val="007F5376"/>
    <w:rsid w:val="00814274"/>
    <w:rsid w:val="00827675"/>
    <w:rsid w:val="00842B0A"/>
    <w:rsid w:val="00845043"/>
    <w:rsid w:val="008467C7"/>
    <w:rsid w:val="00865C10"/>
    <w:rsid w:val="0087642E"/>
    <w:rsid w:val="00876B79"/>
    <w:rsid w:val="00876CD5"/>
    <w:rsid w:val="0089047A"/>
    <w:rsid w:val="00894D51"/>
    <w:rsid w:val="00895EE3"/>
    <w:rsid w:val="008A0A89"/>
    <w:rsid w:val="008A27F9"/>
    <w:rsid w:val="008A3C31"/>
    <w:rsid w:val="008B35DF"/>
    <w:rsid w:val="008B4470"/>
    <w:rsid w:val="008C3DB4"/>
    <w:rsid w:val="008C3EB2"/>
    <w:rsid w:val="008C7A84"/>
    <w:rsid w:val="008D0DA6"/>
    <w:rsid w:val="008D6C77"/>
    <w:rsid w:val="008E666B"/>
    <w:rsid w:val="00904A25"/>
    <w:rsid w:val="0090749F"/>
    <w:rsid w:val="00912A44"/>
    <w:rsid w:val="00916D4D"/>
    <w:rsid w:val="009178F9"/>
    <w:rsid w:val="00917FDE"/>
    <w:rsid w:val="00922D19"/>
    <w:rsid w:val="0093095C"/>
    <w:rsid w:val="009318A2"/>
    <w:rsid w:val="00937AC5"/>
    <w:rsid w:val="00941A9F"/>
    <w:rsid w:val="0094583E"/>
    <w:rsid w:val="00946711"/>
    <w:rsid w:val="009513A5"/>
    <w:rsid w:val="00967CF0"/>
    <w:rsid w:val="00973109"/>
    <w:rsid w:val="00975F6E"/>
    <w:rsid w:val="00976453"/>
    <w:rsid w:val="00976C74"/>
    <w:rsid w:val="009847ED"/>
    <w:rsid w:val="009925E8"/>
    <w:rsid w:val="009945FD"/>
    <w:rsid w:val="00996C72"/>
    <w:rsid w:val="009A3C82"/>
    <w:rsid w:val="009B316F"/>
    <w:rsid w:val="009B6DD2"/>
    <w:rsid w:val="009C0A5F"/>
    <w:rsid w:val="009C202B"/>
    <w:rsid w:val="009C5DD5"/>
    <w:rsid w:val="009D0B18"/>
    <w:rsid w:val="009D7D7F"/>
    <w:rsid w:val="009F20F2"/>
    <w:rsid w:val="00A05D40"/>
    <w:rsid w:val="00A128AC"/>
    <w:rsid w:val="00A13D05"/>
    <w:rsid w:val="00A15FA4"/>
    <w:rsid w:val="00A23273"/>
    <w:rsid w:val="00A264D7"/>
    <w:rsid w:val="00A30BBF"/>
    <w:rsid w:val="00A359CB"/>
    <w:rsid w:val="00A40211"/>
    <w:rsid w:val="00A4651E"/>
    <w:rsid w:val="00A66AC1"/>
    <w:rsid w:val="00A719B9"/>
    <w:rsid w:val="00A73177"/>
    <w:rsid w:val="00A738FE"/>
    <w:rsid w:val="00A76D0D"/>
    <w:rsid w:val="00A836A7"/>
    <w:rsid w:val="00A845E2"/>
    <w:rsid w:val="00A91E7E"/>
    <w:rsid w:val="00AB2FA0"/>
    <w:rsid w:val="00AC258C"/>
    <w:rsid w:val="00AC277D"/>
    <w:rsid w:val="00AC2BA7"/>
    <w:rsid w:val="00AD0696"/>
    <w:rsid w:val="00AD18A8"/>
    <w:rsid w:val="00AE26F7"/>
    <w:rsid w:val="00AE4922"/>
    <w:rsid w:val="00AE4FFF"/>
    <w:rsid w:val="00AE7A50"/>
    <w:rsid w:val="00AF38EC"/>
    <w:rsid w:val="00B15569"/>
    <w:rsid w:val="00B17D41"/>
    <w:rsid w:val="00B23FA0"/>
    <w:rsid w:val="00B24CB8"/>
    <w:rsid w:val="00B2503B"/>
    <w:rsid w:val="00B3090A"/>
    <w:rsid w:val="00B30B57"/>
    <w:rsid w:val="00B514AB"/>
    <w:rsid w:val="00B53C5B"/>
    <w:rsid w:val="00B544EB"/>
    <w:rsid w:val="00B65C88"/>
    <w:rsid w:val="00B71B76"/>
    <w:rsid w:val="00B71F46"/>
    <w:rsid w:val="00B8095F"/>
    <w:rsid w:val="00B830B0"/>
    <w:rsid w:val="00B835F5"/>
    <w:rsid w:val="00B94676"/>
    <w:rsid w:val="00B958DE"/>
    <w:rsid w:val="00BB497A"/>
    <w:rsid w:val="00BC368A"/>
    <w:rsid w:val="00BD1230"/>
    <w:rsid w:val="00BD37E9"/>
    <w:rsid w:val="00BF13BC"/>
    <w:rsid w:val="00C042AD"/>
    <w:rsid w:val="00C054B2"/>
    <w:rsid w:val="00C10E2C"/>
    <w:rsid w:val="00C115A5"/>
    <w:rsid w:val="00C16FEA"/>
    <w:rsid w:val="00C403C3"/>
    <w:rsid w:val="00C4146D"/>
    <w:rsid w:val="00C42156"/>
    <w:rsid w:val="00C46686"/>
    <w:rsid w:val="00C5073D"/>
    <w:rsid w:val="00C741D3"/>
    <w:rsid w:val="00C74ADA"/>
    <w:rsid w:val="00C80618"/>
    <w:rsid w:val="00C90D9C"/>
    <w:rsid w:val="00C91956"/>
    <w:rsid w:val="00C9242F"/>
    <w:rsid w:val="00C9362C"/>
    <w:rsid w:val="00CB1BE1"/>
    <w:rsid w:val="00CB7209"/>
    <w:rsid w:val="00CC71A7"/>
    <w:rsid w:val="00CD0CAF"/>
    <w:rsid w:val="00CD12D9"/>
    <w:rsid w:val="00CD30C3"/>
    <w:rsid w:val="00CD36CD"/>
    <w:rsid w:val="00CE6107"/>
    <w:rsid w:val="00D0183F"/>
    <w:rsid w:val="00D100CD"/>
    <w:rsid w:val="00D12C54"/>
    <w:rsid w:val="00D22ACF"/>
    <w:rsid w:val="00D2328E"/>
    <w:rsid w:val="00D23C13"/>
    <w:rsid w:val="00D25A17"/>
    <w:rsid w:val="00D25E14"/>
    <w:rsid w:val="00D369A9"/>
    <w:rsid w:val="00D55023"/>
    <w:rsid w:val="00D75641"/>
    <w:rsid w:val="00D767E3"/>
    <w:rsid w:val="00D825FC"/>
    <w:rsid w:val="00D85EFB"/>
    <w:rsid w:val="00D92DF4"/>
    <w:rsid w:val="00D95081"/>
    <w:rsid w:val="00D9719F"/>
    <w:rsid w:val="00DA08AB"/>
    <w:rsid w:val="00DA3E55"/>
    <w:rsid w:val="00DB4B80"/>
    <w:rsid w:val="00DB5CD0"/>
    <w:rsid w:val="00DB633C"/>
    <w:rsid w:val="00DB7A6D"/>
    <w:rsid w:val="00DD048F"/>
    <w:rsid w:val="00DD225F"/>
    <w:rsid w:val="00DE59D1"/>
    <w:rsid w:val="00DE626F"/>
    <w:rsid w:val="00DF0EB8"/>
    <w:rsid w:val="00DF1262"/>
    <w:rsid w:val="00DF48F8"/>
    <w:rsid w:val="00DF6B7E"/>
    <w:rsid w:val="00E14DB7"/>
    <w:rsid w:val="00E15457"/>
    <w:rsid w:val="00E20FDA"/>
    <w:rsid w:val="00E23099"/>
    <w:rsid w:val="00E5035C"/>
    <w:rsid w:val="00E51401"/>
    <w:rsid w:val="00E52293"/>
    <w:rsid w:val="00E52D7A"/>
    <w:rsid w:val="00E6206E"/>
    <w:rsid w:val="00E719FD"/>
    <w:rsid w:val="00E77167"/>
    <w:rsid w:val="00E840B3"/>
    <w:rsid w:val="00E93F1C"/>
    <w:rsid w:val="00EA3B94"/>
    <w:rsid w:val="00EA3E2E"/>
    <w:rsid w:val="00EB500A"/>
    <w:rsid w:val="00EC437A"/>
    <w:rsid w:val="00EC44FE"/>
    <w:rsid w:val="00ED3445"/>
    <w:rsid w:val="00ED4F1B"/>
    <w:rsid w:val="00ED7E12"/>
    <w:rsid w:val="00F00529"/>
    <w:rsid w:val="00F20B2E"/>
    <w:rsid w:val="00F26D46"/>
    <w:rsid w:val="00F30F72"/>
    <w:rsid w:val="00F4007C"/>
    <w:rsid w:val="00F46C55"/>
    <w:rsid w:val="00F47E47"/>
    <w:rsid w:val="00F50224"/>
    <w:rsid w:val="00F666B4"/>
    <w:rsid w:val="00F75B95"/>
    <w:rsid w:val="00F843F9"/>
    <w:rsid w:val="00F847E7"/>
    <w:rsid w:val="00F922D0"/>
    <w:rsid w:val="00FA4EAF"/>
    <w:rsid w:val="00FA6CF9"/>
    <w:rsid w:val="00FB4BFE"/>
    <w:rsid w:val="00FB4DF2"/>
    <w:rsid w:val="00FB55CB"/>
    <w:rsid w:val="00FD1FBE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14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AD8B-0116-4D86-80BD-D7599DD7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4950</Words>
  <Characters>28217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cp:lastPrinted>2024-03-27T08:01:00Z</cp:lastPrinted>
  <dcterms:created xsi:type="dcterms:W3CDTF">2024-04-11T11:57:00Z</dcterms:created>
  <dcterms:modified xsi:type="dcterms:W3CDTF">2024-04-12T08:20:00Z</dcterms:modified>
</cp:coreProperties>
</file>